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F543" w14:textId="085EC533" w:rsidR="00182D1E" w:rsidRPr="00182D1E" w:rsidRDefault="00182D1E" w:rsidP="003140F8">
      <w:pPr>
        <w:pStyle w:val="1"/>
        <w:jc w:val="center"/>
        <w:rPr>
          <w:color w:val="1F497D" w:themeColor="text2"/>
          <w:lang w:val="en-US"/>
        </w:rPr>
      </w:pPr>
      <w:bookmarkStart w:id="0" w:name="_5wbmo5lx4dax" w:colFirst="0" w:colLast="0"/>
      <w:bookmarkStart w:id="1" w:name="_Hlk159584089"/>
      <w:bookmarkEnd w:id="0"/>
      <w:r w:rsidRPr="00182D1E">
        <w:rPr>
          <w:color w:val="1F497D" w:themeColor="text2"/>
          <w:lang w:val="en-US"/>
        </w:rPr>
        <w:t>Ethi</w:t>
      </w:r>
      <w:r w:rsidR="003140F8">
        <w:rPr>
          <w:color w:val="1F497D" w:themeColor="text2"/>
          <w:lang w:val="en-US"/>
        </w:rPr>
        <w:t>cs charter of the ECETT network</w:t>
      </w:r>
    </w:p>
    <w:p w14:paraId="68F0CC23" w14:textId="77777777" w:rsidR="003140F8" w:rsidRDefault="00182D1E" w:rsidP="003140F8">
      <w:pPr>
        <w:rPr>
          <w:rFonts w:asciiTheme="majorHAnsi" w:hAnsiTheme="majorHAnsi" w:cstheme="majorHAnsi"/>
          <w:lang w:val="en-US"/>
        </w:rPr>
      </w:pPr>
      <w:r w:rsidRPr="003140F8">
        <w:rPr>
          <w:rFonts w:asciiTheme="majorHAnsi" w:hAnsiTheme="majorHAnsi" w:cstheme="majorHAnsi"/>
          <w:lang w:val="en-US"/>
        </w:rPr>
        <w:t>Users of the ECETT network and the services of the Ecett-Networks non-profit organization undertake to:</w:t>
      </w:r>
    </w:p>
    <w:p w14:paraId="5B93536A" w14:textId="284106A1" w:rsidR="00182D1E" w:rsidRPr="003140F8" w:rsidRDefault="0063418F" w:rsidP="003140F8">
      <w:pPr>
        <w:rPr>
          <w:highlight w:val="white"/>
          <w:lang w:val="en-US"/>
        </w:rPr>
      </w:pPr>
      <w:r w:rsidRPr="0063418F">
        <w:rPr>
          <w:b/>
          <w:sz w:val="24"/>
          <w:szCs w:val="24"/>
          <w:lang w:val="en-US"/>
        </w:rPr>
        <w:t>1.</w:t>
      </w:r>
      <w:r>
        <w:rPr>
          <w:lang w:val="en-US"/>
        </w:rPr>
        <w:t xml:space="preserve"> </w:t>
      </w:r>
      <w:r w:rsidR="00182D1E" w:rsidRPr="003140F8">
        <w:rPr>
          <w:b/>
          <w:sz w:val="24"/>
          <w:szCs w:val="24"/>
          <w:lang w:val="en-US"/>
        </w:rPr>
        <w:t>Promote exchanges of experience in a spirit of simplicity and sharing in order to make internships accessible to all.</w:t>
      </w:r>
    </w:p>
    <w:p w14:paraId="3DF3E5AC" w14:textId="2F297244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Interns </w:t>
      </w: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are considered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 as interns in the host team and as such, they respect its obligations and ethics.</w:t>
      </w:r>
    </w:p>
    <w:p w14:paraId="50BEBAFE" w14:textId="6A77915F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Trainees will ensure that they have a proactive, respectful and grateful attitude towards their host.</w:t>
      </w:r>
    </w:p>
    <w:p w14:paraId="4018955D" w14:textId="6D99DC77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The hosts will be attentive to welcoming the intern. </w:t>
      </w:r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They </w:t>
      </w: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are advised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to appoint a member of their staff as an “ECETT referent/contact person”, who will be responsible for contacts and welcoming trainees. These are the “little extras” that facilitate the integration of the new arrival: </w:t>
      </w: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Being well received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encourages you to welcome well. The welcome makes the journey possible and strengthens the transmission of knowledge.</w:t>
      </w:r>
    </w:p>
    <w:p w14:paraId="0A26EAA1" w14:textId="2FE5913B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Interns receive support from their helpdesk (Helpdesk - HD) in setting up their project. </w:t>
      </w:r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However, they remain the main applicants and actors, in agreement with their management.</w:t>
      </w:r>
    </w:p>
    <w:p w14:paraId="1203CDCD" w14:textId="7A18EDE5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Only the person designated as “Help Desk/HD” has access to the trainee files and is subject to the confidentiality of the data contained therein.</w:t>
      </w:r>
    </w:p>
    <w:p w14:paraId="36FAE480" w14:textId="602973DA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63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The host establishment undertakes to respect the conditions announced to the intern and indicated in the internship agreement (doc 2a of the internship file) in relation to:</w:t>
      </w:r>
    </w:p>
    <w:p w14:paraId="521CD0B9" w14:textId="77777777" w:rsidR="00182D1E" w:rsidRPr="003140F8" w:rsidRDefault="00182D1E" w:rsidP="003140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1701" w:right="63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o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 monitoring by the spokesperson of the host institution</w:t>
      </w:r>
    </w:p>
    <w:p w14:paraId="36803B53" w14:textId="77777777" w:rsidR="00182D1E" w:rsidRPr="003140F8" w:rsidRDefault="00182D1E" w:rsidP="003140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1701" w:right="63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o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 logistical conditions: meals, transport, accommodation</w:t>
      </w:r>
    </w:p>
    <w:p w14:paraId="7070AB21" w14:textId="77777777" w:rsidR="00182D1E" w:rsidRPr="003140F8" w:rsidRDefault="00182D1E" w:rsidP="003140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1701" w:right="63"/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o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 the activity program (doc 2b of the internship file)</w:t>
      </w:r>
    </w:p>
    <w:p w14:paraId="2D61F1DF" w14:textId="302C0ECE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All data relating to clients of the host center is strictly confidential. </w:t>
      </w:r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Anonymity is respected in </w:t>
      </w: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all the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intern’s writings.</w:t>
      </w:r>
    </w:p>
    <w:p w14:paraId="2188CC9C" w14:textId="5963C880" w:rsidR="00182D1E" w:rsidRPr="003140F8" w:rsidRDefault="00182D1E" w:rsidP="003140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83" w:lineRule="auto"/>
        <w:ind w:right="166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63418F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Priority </w:t>
      </w:r>
      <w:proofErr w:type="gramStart"/>
      <w:r w:rsidRPr="0063418F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will always be given</w:t>
      </w:r>
      <w:proofErr w:type="gramEnd"/>
      <w:r w:rsidRPr="0063418F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 to beneficiaries and users of the host service. </w:t>
      </w:r>
      <w:bookmarkStart w:id="2" w:name="_GoBack"/>
      <w:bookmarkEnd w:id="2"/>
      <w:r w:rsidRPr="003140F8">
        <w:rPr>
          <w:rFonts w:asciiTheme="majorHAnsi" w:eastAsia="Calibri" w:hAnsiTheme="majorHAnsi" w:cstheme="majorHAnsi"/>
          <w:sz w:val="24"/>
          <w:szCs w:val="24"/>
          <w:highlight w:val="white"/>
        </w:rPr>
        <w:t>Everything must be done so that service to internal/external customers is not hampered by the organization of a visit or an internship.</w:t>
      </w:r>
    </w:p>
    <w:p w14:paraId="181E32EC" w14:textId="77777777" w:rsidR="00182D1E" w:rsidRPr="003140F8" w:rsidRDefault="00182D1E" w:rsidP="003140F8">
      <w:pPr>
        <w:pStyle w:val="4"/>
        <w:rPr>
          <w:lang w:val="en-US"/>
        </w:rPr>
      </w:pPr>
      <w:r w:rsidRPr="003140F8">
        <w:rPr>
          <w:lang w:val="en-US"/>
        </w:rPr>
        <w:t>2. Sign a partnership agreement:</w:t>
      </w:r>
    </w:p>
    <w:p w14:paraId="1A044ED3" w14:textId="77777777" w:rsidR="003140F8" w:rsidRDefault="00182D1E" w:rsidP="003140F8">
      <w:pPr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The trainee's organization or the "host" organization undertakes to sign a pa</w:t>
      </w:r>
      <w:r w:rsid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rtnership agreement with ECETT </w:t>
      </w:r>
    </w:p>
    <w:p w14:paraId="59944EB1" w14:textId="528B5610" w:rsidR="00182D1E" w:rsidRPr="003140F8" w:rsidRDefault="003140F8" w:rsidP="003140F8">
      <w:pPr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hyperlink r:id="rId8" w:history="1">
        <w:r w:rsidRPr="003140F8">
          <w:rPr>
            <w:rStyle w:val="a9"/>
            <w:rFonts w:asciiTheme="majorHAnsi" w:eastAsia="Calibri" w:hAnsiTheme="majorHAnsi" w:cstheme="majorHAnsi"/>
            <w:sz w:val="24"/>
            <w:szCs w:val="24"/>
            <w:lang w:val="en-US"/>
          </w:rPr>
          <w:t>https://www.ecett.eu/wp-content/uploads/2024/02/2024-Partnership-agreement.docx</w:t>
        </w:r>
      </w:hyperlink>
    </w:p>
    <w:p w14:paraId="215B2324" w14:textId="77777777" w:rsidR="003140F8" w:rsidRDefault="003140F8" w:rsidP="003140F8">
      <w:pPr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</w:p>
    <w:p w14:paraId="2F989B91" w14:textId="143A7304" w:rsidR="00182D1E" w:rsidRPr="003140F8" w:rsidRDefault="00182D1E" w:rsidP="003140F8">
      <w:pPr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</w:pPr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 xml:space="preserve">By joining the ECETT network and using its services, users (trainees, host establishments, </w:t>
      </w:r>
      <w:proofErr w:type="gramStart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partners</w:t>
      </w:r>
      <w:proofErr w:type="gramEnd"/>
      <w:r w:rsidRPr="003140F8">
        <w:rPr>
          <w:rFonts w:asciiTheme="majorHAnsi" w:eastAsia="Calibri" w:hAnsiTheme="majorHAnsi" w:cstheme="majorHAnsi"/>
          <w:sz w:val="24"/>
          <w:szCs w:val="24"/>
          <w:highlight w:val="white"/>
          <w:lang w:val="en-US"/>
        </w:rPr>
        <w:t>) undertake to respect the rules described in this ethical charter as well as any special provisions for the professional network of which the user is a part. .</w:t>
      </w:r>
    </w:p>
    <w:bookmarkEnd w:id="1"/>
    <w:p w14:paraId="16D39D59" w14:textId="14A8365E" w:rsidR="00182D1E" w:rsidRPr="00182D1E" w:rsidRDefault="00182D1E" w:rsidP="00192719">
      <w:pPr>
        <w:pStyle w:val="1"/>
        <w:rPr>
          <w:color w:val="1F497D" w:themeColor="text2"/>
          <w:lang w:val="en-US"/>
        </w:rPr>
      </w:pPr>
    </w:p>
    <w:sectPr w:rsidR="00182D1E" w:rsidRPr="00182D1E" w:rsidSect="00DD105B">
      <w:pgSz w:w="11880" w:h="16840"/>
      <w:pgMar w:top="720" w:right="720" w:bottom="720" w:left="720" w:header="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7F63" w14:textId="77777777" w:rsidR="005C6360" w:rsidRDefault="005C6360">
      <w:pPr>
        <w:spacing w:line="240" w:lineRule="auto"/>
      </w:pPr>
      <w:r>
        <w:separator/>
      </w:r>
    </w:p>
  </w:endnote>
  <w:endnote w:type="continuationSeparator" w:id="0">
    <w:p w14:paraId="4D6D3DFC" w14:textId="77777777" w:rsidR="005C6360" w:rsidRDefault="005C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CBE" w14:textId="77777777" w:rsidR="005C6360" w:rsidRDefault="005C6360">
      <w:pPr>
        <w:spacing w:line="240" w:lineRule="auto"/>
      </w:pPr>
      <w:r>
        <w:separator/>
      </w:r>
    </w:p>
  </w:footnote>
  <w:footnote w:type="continuationSeparator" w:id="0">
    <w:p w14:paraId="23EAA6A9" w14:textId="77777777" w:rsidR="005C6360" w:rsidRDefault="005C6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C40"/>
    <w:multiLevelType w:val="multilevel"/>
    <w:tmpl w:val="DF6A883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92"/>
    <w:rsid w:val="000F4CF4"/>
    <w:rsid w:val="000F6F92"/>
    <w:rsid w:val="00182D1E"/>
    <w:rsid w:val="00192719"/>
    <w:rsid w:val="003140F8"/>
    <w:rsid w:val="005C6360"/>
    <w:rsid w:val="0063418F"/>
    <w:rsid w:val="00B21835"/>
    <w:rsid w:val="00C3333A"/>
    <w:rsid w:val="00D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B747"/>
  <w15:docId w15:val="{2546A7EE-023C-4E93-BF51-7265663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BE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192719"/>
    <w:pPr>
      <w:keepNext/>
      <w:keepLines/>
      <w:spacing w:before="480" w:after="120"/>
      <w:outlineLvl w:val="0"/>
    </w:pPr>
    <w:rPr>
      <w:rFonts w:asciiTheme="majorHAnsi" w:hAnsiTheme="majorHAnsi" w:cstheme="majorHAnsi"/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3333A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3A"/>
  </w:style>
  <w:style w:type="paragraph" w:styleId="a7">
    <w:name w:val="footer"/>
    <w:basedOn w:val="a"/>
    <w:link w:val="a8"/>
    <w:uiPriority w:val="99"/>
    <w:unhideWhenUsed/>
    <w:rsid w:val="00C3333A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3A"/>
  </w:style>
  <w:style w:type="character" w:styleId="a9">
    <w:name w:val="Hyperlink"/>
    <w:basedOn w:val="a0"/>
    <w:uiPriority w:val="99"/>
    <w:unhideWhenUsed/>
    <w:rsid w:val="003140F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ett.eu/wp-content/uploads/2024/02/2024-Partnership-agreem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3FF7-1A6A-42A2-BF65-91C6979C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2024-02-28T14:46:00Z</dcterms:created>
  <dcterms:modified xsi:type="dcterms:W3CDTF">2024-02-28T14:56:00Z</dcterms:modified>
</cp:coreProperties>
</file>